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222222"/>
          <w:sz w:val="32"/>
          <w:szCs w:val="32"/>
          <w:highlight w:val="white"/>
          <w:lang w:val="uk-UA"/>
        </w:rPr>
      </w:pPr>
      <w:r>
        <w:rPr>
          <w:rFonts w:cs="Times New Roman" w:ascii="Times New Roman" w:hAnsi="Times New Roman"/>
          <w:b/>
          <w:color w:val="222222"/>
          <w:sz w:val="32"/>
          <w:szCs w:val="32"/>
          <w:shd w:fill="FFFFFF" w:val="clear"/>
          <w:lang w:val="uk-UA"/>
        </w:rPr>
      </w:r>
    </w:p>
    <w:p>
      <w:pPr>
        <w:pStyle w:val="NormalWeb"/>
        <w:spacing w:before="0" w:after="200"/>
        <w:ind w:left="-284" w:right="-622" w:hanging="0"/>
        <w:contextualSpacing/>
        <w:jc w:val="center"/>
        <w:rPr>
          <w:b/>
          <w:b/>
          <w:sz w:val="32"/>
          <w:szCs w:val="32"/>
        </w:rPr>
      </w:pPr>
      <w:r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209550</wp:posOffset>
            </wp:positionH>
            <wp:positionV relativeFrom="paragraph">
              <wp:posOffset>102870</wp:posOffset>
            </wp:positionV>
            <wp:extent cx="758190" cy="6477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ременецький місцевий центр з надання</w:t>
      </w:r>
    </w:p>
    <w:p>
      <w:pPr>
        <w:pStyle w:val="NormalWeb"/>
        <w:spacing w:before="0" w:after="200"/>
        <w:ind w:left="-284" w:right="-622" w:hanging="0"/>
        <w:contextualSpacing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безоплатної вторинної правової допомоги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222222"/>
          <w:sz w:val="32"/>
          <w:szCs w:val="32"/>
          <w:highlight w:val="white"/>
          <w:lang w:val="uk-UA"/>
        </w:rPr>
      </w:pPr>
      <w:r>
        <w:rPr>
          <w:rFonts w:cs="Times New Roman" w:ascii="Times New Roman" w:hAnsi="Times New Roman"/>
          <w:b/>
          <w:color w:val="222222"/>
          <w:sz w:val="32"/>
          <w:szCs w:val="32"/>
          <w:shd w:fill="FFFFFF" w:val="clear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222222"/>
          <w:sz w:val="32"/>
          <w:szCs w:val="32"/>
          <w:highlight w:val="white"/>
          <w:lang w:val="uk-UA"/>
        </w:rPr>
      </w:pPr>
      <w:r>
        <w:rPr>
          <w:rFonts w:cs="Times New Roman" w:ascii="Times New Roman" w:hAnsi="Times New Roman"/>
          <w:b/>
          <w:color w:val="222222"/>
          <w:sz w:val="32"/>
          <w:szCs w:val="32"/>
          <w:shd w:fill="FFFFFF" w:val="clear"/>
          <w:lang w:val="uk-UA"/>
        </w:rPr>
        <w:t>Житлово-комунальні пільги особам, які постраждали внаслідок Чорнобильської катастрофи.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222222"/>
          <w:sz w:val="32"/>
          <w:szCs w:val="32"/>
          <w:highlight w:val="white"/>
          <w:lang w:val="uk-UA"/>
        </w:rPr>
      </w:pPr>
      <w:r>
        <w:rPr>
          <w:rFonts w:cs="Times New Roman" w:ascii="Times New Roman" w:hAnsi="Times New Roman"/>
          <w:b/>
          <w:color w:val="222222"/>
          <w:sz w:val="32"/>
          <w:szCs w:val="32"/>
          <w:shd w:fill="FFFFFF" w:val="clear"/>
          <w:lang w:val="uk-UA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>Держава гарантує соціальний захист  та надання  пільг, компенсаційособам, які постраждали  внаслідок  Чорнобильської катастрофи. Основним нормативним документом,  який регламентує  перелік таких пільг та компенсацій є  Закон України «</w:t>
      </w:r>
      <w:r>
        <w:rPr>
          <w:rFonts w:cs="Times New Roman" w:ascii="Times New Roman" w:hAnsi="Times New Roman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76200</wp:posOffset>
            </wp:positionH>
            <wp:positionV relativeFrom="paragraph">
              <wp:posOffset>20320</wp:posOffset>
            </wp:positionV>
            <wp:extent cx="3248025" cy="1818640"/>
            <wp:effectExtent l="0" t="0" r="0" b="0"/>
            <wp:wrapTight wrapText="bothSides">
              <wp:wrapPolygon edited="0">
                <wp:start x="-144" y="0"/>
                <wp:lineTo x="-144" y="21143"/>
                <wp:lineTo x="21600" y="21143"/>
                <wp:lineTo x="21600" y="0"/>
                <wp:lineTo x="-144" y="0"/>
              </wp:wrapPolygon>
            </wp:wrapTight>
            <wp:docPr id="2" name="Зображення1" descr="D:\LYS\Закон\Буклети\БУКЛЕТИ 1 кв.2020\230320\пільги чає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D:\LYS\Закон\Буклети\БУКЛЕТИ 1 кв.2020\230320\пільги чаєс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sz w:val="28"/>
          <w:szCs w:val="28"/>
          <w:lang w:val="uk-UA"/>
        </w:rPr>
        <w:t>дним із видів  пільг є  житлово-комунальні, які надаються  взалежності від  категорії, яку  отримав постраждалий внаслідок  Чорнобильськї катастрофи,  зокрема до них можна віднести: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50% знижк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плати за користуванняжитлом (квартирної плати, плати за утриманнябудинків), комунальнимипослугами (газ, електрична і тепловаенергія, водопостачання, водовідведення та іншіпослуги) у межахсередніх норм споживання, передбачених законом, телефоном (абонентна плата, оплата послугелектрозв'язку за місцевітелефоннірозмови з квартирнихтелефонів)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Особам, якіпроживають у будинках, що не маютьцентральногоопалення, відшкодовується 50 % вартостіпалива, придбаного в межах норм, встановлених для продажу населенню. У разіпроживання у гуртожитку оплата за проживанняпровадиться у розмірі 50 % встановленої плати.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Дана пільга встановлена для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 1,2категорій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 осіб, які постраждали внаслідок Чорнобильської катастрофита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член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ів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сімейчорнобильців, якіпроживають ужилихбудинках (квартирах) усіх форм власності в межах норм, передбачених законом.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</w:rPr>
        <w:t>ідшкодування 50 % вартостіпалива, придбаного в межах норм, встановлених для продажу населенню, особам, якіпроживають на територіяхрадіоактивногозабруднення до відселенняу будинках,що не мають центрального опалення.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Для 3категорії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постраждалих.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</w:rPr>
        <w:t>ередач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cs="Times New Roman" w:ascii="Times New Roman" w:hAnsi="Times New Roman"/>
          <w:color w:val="000000"/>
          <w:sz w:val="28"/>
          <w:szCs w:val="28"/>
        </w:rPr>
        <w:t>безплатно в приватнувласністьзайманих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постраждалими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та їхсім'ями квартир (будинків) державного та громадськогожитлового фонду незалежновід того, чи є зазначена особа наймачемчи членом сім'їнаймача. Зазначенапільгаможе бути використана один раз.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Для 1,2категорій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 та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дружин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(чоловік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) померлогогромадянина, смерть якогопов'язана з Чорнобильською катастрофою, абоопікуну (на час опікунства) дітейпомерлого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позачергове забезпечення жилою площею осіб, які потребують поліпшення житлових умов (включаючи сім'ї загиблих або померлих громадян). Особи, зазначені в цьому пункті,забезпечуються жилою площею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протягом року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з дня подання заяви, для чого місцеві ради щорічно виділяють 15 % усього збудованого житла (в тому числі підприємствами</w:t>
      </w:r>
      <w:r>
        <w:rPr>
          <w:rFonts w:cs="Times New Roman" w:ascii="Times New Roman" w:hAnsi="Times New Roman"/>
          <w:color w:val="000000"/>
          <w:sz w:val="28"/>
          <w:szCs w:val="28"/>
          <w:shd w:fill="F1F1F1" w:val="clear"/>
          <w:lang w:val="uk-UA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установами, організаціями незалежно від форми власності). -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Для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1категорії .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Цим правом можнаскористатисялише один раз.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600" w:hanging="360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>обов’язкове (протягом року після подання заяви) відведення місцевими радами земельних ділянок для індивідуального житлового будівництва для тих, хто потребує поліпшення житлових умов та перебуває на квартирному обліку, а також відведення земельних ділянок для ведення особистого підсобного господарства, садівництва і городництва, будівництва індивідуальних гаражів і дач.-</w:t>
      </w:r>
      <w:r>
        <w:rPr>
          <w:b/>
          <w:color w:val="000000"/>
          <w:sz w:val="28"/>
          <w:szCs w:val="28"/>
          <w:lang w:val="uk-UA"/>
        </w:rPr>
        <w:t>Для всіхкатегорій постраждалих та дружини (чоловіка) померлогогромадянина, смерть якогопов'язана з Чорнобильською катастрофою, абоопікуну (на час опікунства) дітейпомерлого.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 xml:space="preserve">За призначенням пільг на оплату житлово-комунальних послуг,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пільговикзвертається до </w:t>
      </w:r>
      <w:r>
        <w:rPr>
          <w:rFonts w:cs="Times New Roman" w:ascii="Times New Roman" w:hAnsi="Times New Roman"/>
          <w:bCs/>
          <w:color w:val="222222"/>
          <w:sz w:val="28"/>
          <w:szCs w:val="28"/>
          <w:shd w:fill="FFFFFF" w:val="clear"/>
        </w:rPr>
        <w:t>структурнихпідрозділів з питаньсоціальногозахистунаселеннярайонних, районних у мм. Києві та Севастополідержадміністрацій, виконавчихорганів з питаньсоціальногозахистунаселенняміських, районних у містах (у разіїхутворення)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 за місцемреєстрації (проживання).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a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775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47c8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47c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775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389</Words>
  <Characters>3125</Characters>
  <CharactersWithSpaces>3514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2020-03-23T12:31:00Z</dcterms:created>
  <dc:creator>Саша</dc:creator>
  <dc:description/>
  <dc:language>uk-UA</dc:language>
  <cp:lastModifiedBy>ЛИС Ярослав</cp:lastModifiedBy>
  <dcterms:modified xsi:type="dcterms:W3CDTF">2020-03-23T12:31:00Z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