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ТЕХНІЧНЕ ЗАВДАННЯ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>на проектування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Капітальний ремонт із впровадженням заходів з енергозбереження у адміністративній будівлі </w:t>
      </w:r>
      <w:r>
        <w:rPr>
          <w:rFonts w:eastAsia="Times New Roman" w:cs="Times New Roman" w:ascii="Times New Roman" w:hAnsi="Times New Roman"/>
          <w:b/>
          <w:bCs/>
          <w:color w:val="000000"/>
          <w:lang w:val="uk-UA"/>
        </w:rPr>
        <w:t>Збаразького міського комунального підприємства “Збараж”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>за адресою вул. Д.Галицького, 91,  м. Збараж, Збаразький р-н, Тернопільська область”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tbl>
      <w:tblPr>
        <w:tblW w:w="10631" w:type="dxa"/>
        <w:jc w:val="left"/>
        <w:tblInd w:w="0" w:type="dxa"/>
        <w:tblCellMar>
          <w:top w:w="206" w:type="dxa"/>
          <w:left w:w="141" w:type="dxa"/>
          <w:bottom w:w="206" w:type="dxa"/>
          <w:right w:w="141" w:type="dxa"/>
        </w:tblCellMar>
        <w:tblLook w:val="04a0"/>
      </w:tblPr>
      <w:tblGrid>
        <w:gridCol w:w="4752"/>
        <w:gridCol w:w="5878"/>
      </w:tblGrid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Найменування основних даних та вимог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Характеристики даних і вимог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1. Інформація про об’єкт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1.1. Назва об’єкта</w:t>
            </w:r>
          </w:p>
          <w:p>
            <w:pPr>
              <w:pStyle w:val="Normal"/>
              <w:spacing w:lineRule="auto" w:line="240" w:before="57" w:after="57"/>
              <w:rPr/>
            </w:pPr>
            <w:r>
              <w:rPr/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/>
              </w:rPr>
              <w:t>Адміністративна будівля Збаразького міського комунального підприємства “Збараж”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1.2. Місцезнаходження об’єкта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47302,вул. Д.Галицького, 91,  м. Збараж, Збаразький р-н, Тернопільська область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2. Інформація про замовника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2.1. Назва замовника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/>
              </w:rPr>
              <w:t>Збаразьке міське комунальне підприємство “Збараж”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2.2. Юридична та фактична адреса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47302, вул. Д.Галицького, 91,  м. Збараж, Збаразький р-н, Тернопільська область</w:t>
            </w:r>
          </w:p>
        </w:tc>
      </w:tr>
      <w:tr>
        <w:trPr/>
        <w:tc>
          <w:tcPr>
            <w:tcW w:w="4752" w:type="dxa"/>
            <w:tcBorders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3.Вид власності</w:t>
            </w:r>
          </w:p>
        </w:tc>
        <w:tc>
          <w:tcPr>
            <w:tcW w:w="5878" w:type="dxa"/>
            <w:tcBorders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Комунальна</w:t>
            </w:r>
          </w:p>
        </w:tc>
      </w:tr>
      <w:tr>
        <w:trPr/>
        <w:tc>
          <w:tcPr>
            <w:tcW w:w="4752" w:type="dxa"/>
            <w:tcBorders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4. Стадійність проектування</w:t>
            </w:r>
          </w:p>
        </w:tc>
        <w:tc>
          <w:tcPr>
            <w:tcW w:w="5878" w:type="dxa"/>
            <w:tcBorders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Одна стадія – «Робочий проект»</w:t>
            </w:r>
          </w:p>
        </w:tc>
      </w:tr>
      <w:tr>
        <w:trPr/>
        <w:tc>
          <w:tcPr>
            <w:tcW w:w="4752" w:type="dxa"/>
            <w:tcBorders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 xml:space="preserve">5.Підстава для виконання робіт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5878" w:type="dxa"/>
            <w:tcBorders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Проєкт «Механізм підтримки послуг з енергоефективності для громадських будівель» 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6. Джерело фінансування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70% - грантові кошти 30% - бюджетні кошти </w:t>
            </w:r>
          </w:p>
        </w:tc>
      </w:tr>
      <w:tr>
        <w:trPr>
          <w:trHeight w:val="2609" w:hRule="atLeast"/>
        </w:trPr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7. Передпроектні роботи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Генеральний проектувальник зобов′язаний перед виконанням проектних робіт провести технічне обстеження будівлі самостійно (у випадку наявності в складі атестованих експертів) або замовити послугу в спеціалізованій експертній установі. Результатом виконання обстеження є Звіт з рекомендаціями щодо подальшої безпечної експлуатації будівлі. Ці рекомендації необхідно врахувати під час розроблення проектної документації.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8. Основні архітектурно-планувальні вимоги і характеристики запроектованого об′єкта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 Утеплення зовнішніх стін мінеральною ватою, скріплююча система утеплення.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 Врахувати розробку рішень з утеплення цоколю нижче планування та цокольного поверху  згідно діючих норм.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3. Утеплення горищного перекриття.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 Заміна старих вікон та дверей на енергозберігаючі з двокамерними склопакетами з коефіцієнтом опору теплопередачі віконної конструкції не менше 0,75 м2 ·К /Вт.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 Модернізація системи опалення із застосуванням терморегуляторів та балансувальних клапанів.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 Влаштування локальних припливно-витяжних установок з рекуперацією тепла.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7. Передбачити в проєктній документації суміжні роботи, такі як: демонтажні роботи, облаштування підвіконників, облаштування внутрішніх відкосів та інші, необхідність яких виникатиме в процесі погодження рішень.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2" w:leader="none"/>
              </w:tabs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 Матеріали, обладнання та устаткування закладені в проєктній документації повинні характеризуватися чіткими технічними показниками для можливості застосування еквівалентів.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9. Обміри фасадів виконати на етапі проведення робіт з обстеження.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10. Під час розроблення проєктних рішень брати до уваги рекомендації наведені у звіті з енергетичного аудиту.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11. На етапі будівельно-монтажних робіт автори проєктної документації повинні здійснювати авторський нагляд, який буде регламентуватися окремим договором. 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9. Визначення       класу      (наслідків) відповідальності, категорії складності та установленого строку експлуатації**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Категорію складності визначити розрахунком, клас наслідків (відповідальності) відповідно до Закону ’’Про регулювання містобудівної діяльності", ДБН В. 1.2-14-2018, ДСТУ-Н Б В. 1.2-16:2013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«Визначення класу наслідків (відповідальності) та категорії складності об’єктів будівництва» та погодити з Замовником.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10. Потужність, характеристика об’єкта, технічні вимоги до його виконання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Будівля адміністративної будівлі складається з одного двоповерхового корпусу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Архітектурно-планувальне рішення: будівля прямокутної форми. Зовнішні та внутрішні стіни будівлі виконані з глиняної цегли (ρ =1800кг/м3),покрівля скатна, з холодним горищем над будівлею всього корпусу. Під незначною частиною будівлі розташовано неопалювальний підвал, вся інша будівля розташована на ґрунті. Світлопрозорі конструкції дерев'яні та металопластикові з подвійним склінням, двері будівлі різного типу.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Зовнішні стіни будівлі виконані з глиняної цегли (товщина шару складає 0,42м), оштукатурені та пофарбовані з зовні та з внутрішньої сторони.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результатами візуального обстеження зовнішніх стін будівлі визначено наступні ознаки фізичного зносу конструкцій: пошкодження цокольної частини (тріщини, окремі вибоїни, зволоження, місцями відставання і відпадання штукатурки); незначні пошкодження зовнішніх стін (сліди вологи на поверхні стін, що зумовлює надмірну вологість у стіновій конструкції) висоли, корозійні пошкодження.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Характеристика обєкта: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Рік будівництва - 1984, тип будівлі - двоповерхова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Висота приміщень - 3,00 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Загальна площа - 340,36 кв.м.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Загальний обєм - 2042,16 м.кв.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Опалювальна площа - 615,54 м.кв.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Опалювальний обєм - 1723,5 м.куб.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Опалення - тверде паливо (дрова),газове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Кількість працюючих - 39 чол., середня кількість відвідувачів - 280 чол., Заклад працює 5 днів на тиждень з 9:00 до 18:00, 12 місяців на рік.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Споживання (за рік) газ - 1870 м.куб., деревина 10 м.куб., електричної енеогії - 11690 Квт.год/рік, річне споживання теплової енергії - 39 591 Квт.год/рік.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Система опалення будівлі від власної дровяної котельні та газових конвекторів.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Наявний звіт з енергетичного аудиту. 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11. Вимоги з енергозбереження та енергоефективності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Проектні рішення розробити у відповідності до діючих нормативних вимог</w:t>
            </w:r>
          </w:p>
        </w:tc>
      </w:tr>
      <w:tr>
        <w:trPr>
          <w:trHeight w:val="557" w:hRule="atLeast"/>
        </w:trPr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12.  Вимоги до режиму безпеки та охорони праці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Згідно  ДБН та у відповідності з діючими   нормативними документами   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13. Установлений строк експлуатації</w:t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30 років</w:t>
            </w:r>
          </w:p>
        </w:tc>
      </w:tr>
      <w:tr>
        <w:trPr/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14. Якість робіт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Проектна документація має відповідати положенням чинного законодавства України, вимогам будівельних норм та нормативних документів.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 позитивне проведення державної експертизи проектної документації відповідає генеральний проектувальник.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За позитивне проведення державної експертизи проєктної документації відповідає генеральний проєктувальник, за оплату державної експертизи відповідає Замовник. </w:t>
            </w:r>
          </w:p>
        </w:tc>
      </w:tr>
      <w:tr>
        <w:trPr>
          <w:trHeight w:val="2056" w:hRule="atLeast"/>
        </w:trPr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15. Якість матеріалів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Матеріали зазначені в проектній документації мають відповідати нормам, стандартам, якісним показникам і технічним вимогам, що встановлені чинними нормативними актами, і підтверджуватися сертифікатами якості та / або технічними паспортами, іншими документами, що підтверджують їх якісні характеристики.</w:t>
            </w:r>
          </w:p>
        </w:tc>
      </w:tr>
      <w:tr>
        <w:trPr>
          <w:trHeight w:val="3760" w:hRule="atLeast"/>
        </w:trPr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16.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Вимоги  до  звітної  документації, що видається замовнику</w:t>
            </w:r>
          </w:p>
          <w:p>
            <w:pPr>
              <w:pStyle w:val="Normal"/>
              <w:spacing w:lineRule="auto" w:line="240" w:before="57" w:after="57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342" w:after="3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342" w:after="3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21"/>
              <w:shd w:val="clear" w:color="auto" w:fill="auto"/>
              <w:spacing w:before="0" w:after="0"/>
              <w:jc w:val="both"/>
              <w:rPr/>
            </w:pPr>
            <w:r>
              <w:rPr>
                <w:rStyle w:val="2Verdana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Проєктна документація розробляється українською мовою. Проєктна документація видається в 4-х екземплярах на паперовому носієві та 1 екземпляр на електронному носієві. Кошторис виконати відповідно до актуальних цін Мінрегіонбуду. Кошторис надати у файлі суміжному з комплексом «АВК5» або у файлах інформаційних блоків даних програмних комплексів, які взаємодіють з ним в частині передачі кошторисної документації та розрахунків договірних цін </w:t>
            </w:r>
          </w:p>
          <w:p>
            <w:pPr>
              <w:pStyle w:val="21"/>
              <w:shd w:val="clear" w:color="auto" w:fill="auto"/>
              <w:jc w:val="both"/>
              <w:rPr/>
            </w:pPr>
            <w:r>
              <w:rPr>
                <w:rStyle w:val="2Verdana2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Документація видається в 4-х екземплярах на паперовому носієві та 1 екз. на електронному носієві. </w:t>
            </w:r>
          </w:p>
          <w:p>
            <w:pPr>
              <w:pStyle w:val="21"/>
              <w:shd w:val="clear" w:color="auto" w:fill="auto"/>
              <w:jc w:val="both"/>
              <w:rPr/>
            </w:pPr>
            <w:r>
              <w:rPr>
                <w:rStyle w:val="2Verdana2"/>
                <w:rFonts w:cs="Times New Roman" w:ascii="Times New Roman" w:hAnsi="Times New Roman"/>
                <w:color w:val="000000"/>
                <w:sz w:val="22"/>
                <w:szCs w:val="22"/>
              </w:rPr>
              <w:t>Кошторис виконати відповідно до актуальних цін Мінрегіонбуду.</w:t>
            </w:r>
            <w:r>
              <w:rPr>
                <w:rStyle w:val="2Verdana2"/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16" w:hRule="atLeast"/>
        </w:trPr>
        <w:tc>
          <w:tcPr>
            <w:tcW w:w="4752" w:type="dxa"/>
            <w:tcBorders>
              <w:top w:val="single" w:sz="6" w:space="0" w:color="EEEEEE"/>
              <w:lef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17. Термін     початку     і      закінчення розроблення та проведення державної експертизи проектної документації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5878" w:type="dxa"/>
            <w:tcBorders>
              <w:top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Відповідно до умов договору, але не більш 20 календарних днів з дати підписання договору. Доопрацювання проєктної до кінцевої підготовленої версії має бути проведено в термін не пізніше 3 робочих днів з моменту отримання коментарів (рекомендацій), зауважень та доповнень від Замовника. </w:t>
            </w:r>
          </w:p>
        </w:tc>
      </w:tr>
      <w:tr>
        <w:trPr>
          <w:trHeight w:val="16" w:hRule="atLeast"/>
        </w:trPr>
        <w:tc>
          <w:tcPr>
            <w:tcW w:w="4752" w:type="dxa"/>
            <w:tcBorders>
              <w:left w:val="single" w:sz="6" w:space="0" w:color="EEEEEE"/>
              <w:bottom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</w:rPr>
              <w:t>18. Умови оплати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5878" w:type="dxa"/>
            <w:tcBorders>
              <w:bottom w:val="single" w:sz="6" w:space="0" w:color="EEEEEE"/>
              <w:right w:val="single" w:sz="6" w:space="0" w:color="EEEEEE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Роботи з розробки ПКД повинні розпочатися протягом 3 робочих днів після підписання договору на надання послуг. Перший платіж 30% від планованої загальної суми витрат після отримання 1-го проекту ПКД, 70% від загального бюджету буде сплачено після прийняття робіт/послуг, наданих їх постачальником.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93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242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Verdana1" w:customStyle="1">
    <w:name w:val="Основной текст (2) + Verdana1"/>
    <w:qFormat/>
    <w:rsid w:val="00e3782b"/>
    <w:rPr>
      <w:rFonts w:ascii="Verdana" w:hAnsi="Verdana" w:cs="Verdana"/>
      <w:sz w:val="19"/>
      <w:szCs w:val="19"/>
      <w:u w:val="none"/>
      <w:lang w:bidi="he-IL"/>
    </w:rPr>
  </w:style>
  <w:style w:type="character" w:styleId="2Verdana2" w:customStyle="1">
    <w:name w:val="Основной текст (2) + Verdana2"/>
    <w:qFormat/>
    <w:rsid w:val="002d4a2b"/>
    <w:rPr>
      <w:rFonts w:ascii="Verdana" w:hAnsi="Verdana" w:cs="Verdana"/>
      <w:sz w:val="19"/>
      <w:szCs w:val="19"/>
      <w:u w:val="none"/>
      <w:lang w:bidi="he-IL"/>
    </w:rPr>
  </w:style>
  <w:style w:type="character" w:styleId="2" w:customStyle="1">
    <w:name w:val="Основной текст (2)_"/>
    <w:link w:val="20"/>
    <w:qFormat/>
    <w:rsid w:val="00f518f2"/>
    <w:rPr>
      <w:shd w:fill="FFFFFF" w:val="clear"/>
      <w:lang w:bidi="he-I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BodyText31" w:customStyle="1">
    <w:name w:val="Body Text 31"/>
    <w:basedOn w:val="Normal"/>
    <w:qFormat/>
    <w:rsid w:val="003d2b36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07f8c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f518f2"/>
    <w:pPr>
      <w:widowControl w:val="false"/>
      <w:shd w:val="clear" w:color="auto" w:fill="FFFFFF"/>
      <w:spacing w:lineRule="auto" w:line="240" w:before="0" w:after="0"/>
    </w:pPr>
    <w:rPr>
      <w:lang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LibreOffice/6.3.3.2$Windows_X86_64 LibreOffice_project/a64200df03143b798afd1ec74a12ab50359878ed</Application>
  <Pages>4</Pages>
  <Words>919</Words>
  <Characters>6492</Characters>
  <CharactersWithSpaces>7386</CharactersWithSpaces>
  <Paragraphs>80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2019-11-19T06:56:00Z</dcterms:created>
  <dc:creator>user</dc:creator>
  <dc:description/>
  <dc:language>uk-UA</dc:language>
  <cp:lastModifiedBy/>
  <dcterms:modified xsi:type="dcterms:W3CDTF">2020-04-08T15:14:16Z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